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7A" w:rsidRDefault="00F9087A" w:rsidP="00F9087A">
      <w:pPr>
        <w:pStyle w:val="a5"/>
        <w:spacing w:before="75" w:beforeAutospacing="0" w:after="225" w:afterAutospacing="0" w:line="480" w:lineRule="atLeast"/>
        <w:jc w:val="center"/>
      </w:pPr>
      <w:r>
        <w:rPr>
          <w:rStyle w:val="a6"/>
          <w:rFonts w:ascii="微软雅黑" w:eastAsia="微软雅黑" w:hAnsi="微软雅黑" w:hint="eastAsia"/>
          <w:color w:val="000000"/>
          <w:sz w:val="30"/>
          <w:szCs w:val="30"/>
        </w:rPr>
        <w:t> </w:t>
      </w:r>
      <w:bookmarkStart w:id="0" w:name="_GoBack"/>
      <w:r>
        <w:rPr>
          <w:rStyle w:val="a6"/>
          <w:rFonts w:ascii="微软雅黑" w:eastAsia="微软雅黑" w:hAnsi="微软雅黑" w:hint="eastAsia"/>
          <w:color w:val="000000"/>
          <w:sz w:val="30"/>
          <w:szCs w:val="30"/>
        </w:rPr>
        <w:t>药学硕士专业学位研究生指导性培养方案（试行）</w:t>
      </w:r>
      <w:bookmarkEnd w:id="0"/>
    </w:p>
    <w:p w:rsidR="00F9087A" w:rsidRDefault="00F9087A" w:rsidP="00F9087A">
      <w:pPr>
        <w:pStyle w:val="a5"/>
        <w:spacing w:before="75" w:beforeAutospacing="0" w:after="225" w:afterAutospacing="0" w:line="480" w:lineRule="atLeast"/>
      </w:pPr>
      <w:r>
        <w:rPr>
          <w:color w:val="000000"/>
        </w:rPr>
        <w:t xml:space="preserve">               </w:t>
      </w:r>
      <w:r>
        <w:rPr>
          <w:rFonts w:ascii="微软雅黑" w:eastAsia="微软雅黑" w:hAnsi="微软雅黑" w:hint="eastAsia"/>
          <w:color w:val="000000"/>
        </w:rPr>
        <w:t>学位办 [2011] 34号 附件</w:t>
      </w:r>
    </w:p>
    <w:p w:rsidR="00F9087A" w:rsidRDefault="00F9087A" w:rsidP="00F9087A">
      <w:pPr>
        <w:pStyle w:val="a5"/>
        <w:spacing w:before="225" w:beforeAutospacing="0" w:after="225" w:afterAutospacing="0" w:line="480" w:lineRule="atLeast"/>
      </w:pPr>
      <w:r>
        <w:rPr>
          <w:rStyle w:val="a6"/>
          <w:rFonts w:ascii="微软雅黑" w:eastAsia="微软雅黑" w:hAnsi="微软雅黑" w:hint="eastAsia"/>
          <w:color w:val="000000"/>
        </w:rPr>
        <w:t>        一、培养目标和基本要求</w:t>
      </w:r>
    </w:p>
    <w:p w:rsidR="00F9087A" w:rsidRDefault="00F9087A" w:rsidP="00F9087A">
      <w:pPr>
        <w:pStyle w:val="a5"/>
        <w:spacing w:line="480" w:lineRule="atLeast"/>
      </w:pPr>
      <w:r>
        <w:rPr>
          <w:rFonts w:ascii="微软雅黑" w:eastAsia="微软雅黑" w:hAnsi="微软雅黑" w:hint="eastAsia"/>
          <w:color w:val="000000"/>
        </w:rPr>
        <w:t>     （一）培养目标</w:t>
      </w:r>
    </w:p>
    <w:p w:rsidR="00F9087A" w:rsidRDefault="00F9087A" w:rsidP="00F9087A">
      <w:pPr>
        <w:pStyle w:val="a5"/>
        <w:spacing w:after="225" w:afterAutospacing="0" w:line="480" w:lineRule="atLeast"/>
      </w:pPr>
      <w:r>
        <w:rPr>
          <w:rFonts w:ascii="微软雅黑" w:eastAsia="微软雅黑" w:hAnsi="微软雅黑" w:hint="eastAsia"/>
          <w:color w:val="000000"/>
        </w:rPr>
        <w:t>       培养掌握马克思主义基本原理和中国特色社会主义理论体系，具有良好的政治素质和职业道德，在药物技术转化、临床使用、监管与生产流通等应用领域的高层次、应用型药学专门人才。</w:t>
      </w:r>
    </w:p>
    <w:p w:rsidR="00F9087A" w:rsidRDefault="00F9087A" w:rsidP="00F9087A">
      <w:pPr>
        <w:pStyle w:val="a5"/>
        <w:spacing w:line="480" w:lineRule="atLeast"/>
      </w:pPr>
      <w:r>
        <w:rPr>
          <w:rFonts w:ascii="微软雅黑" w:eastAsia="微软雅黑" w:hAnsi="微软雅黑" w:hint="eastAsia"/>
          <w:color w:val="000000"/>
        </w:rPr>
        <w:t>     （二）基本要求</w:t>
      </w:r>
    </w:p>
    <w:p w:rsidR="00F9087A" w:rsidRDefault="00F9087A" w:rsidP="00F9087A">
      <w:pPr>
        <w:pStyle w:val="a5"/>
        <w:spacing w:after="225" w:afterAutospacing="0" w:line="480" w:lineRule="atLeast"/>
      </w:pPr>
      <w:r>
        <w:rPr>
          <w:rFonts w:ascii="微软雅黑" w:eastAsia="微软雅黑" w:hAnsi="微软雅黑" w:hint="eastAsia"/>
          <w:color w:val="000000"/>
        </w:rPr>
        <w:t>       掌握药学及相关学科专业知识，具有较强技术创新能力和解决实际问题能力，能利用所学知识解决问题，胜任本领域的实际工作。</w:t>
      </w:r>
    </w:p>
    <w:p w:rsidR="00F9087A" w:rsidRDefault="00F9087A" w:rsidP="00F9087A">
      <w:pPr>
        <w:pStyle w:val="a5"/>
        <w:spacing w:before="225" w:beforeAutospacing="0" w:after="225" w:afterAutospacing="0" w:line="480" w:lineRule="atLeast"/>
      </w:pPr>
      <w:r>
        <w:rPr>
          <w:rFonts w:ascii="微软雅黑" w:eastAsia="微软雅黑" w:hAnsi="微软雅黑" w:hint="eastAsia"/>
          <w:color w:val="000000"/>
        </w:rPr>
        <w:t>     </w:t>
      </w:r>
      <w:r>
        <w:rPr>
          <w:rStyle w:val="a6"/>
          <w:rFonts w:ascii="微软雅黑" w:eastAsia="微软雅黑" w:hAnsi="微软雅黑" w:hint="eastAsia"/>
          <w:color w:val="000000"/>
        </w:rPr>
        <w:t xml:space="preserve">  二、招生对象 </w:t>
      </w:r>
    </w:p>
    <w:p w:rsidR="00F9087A" w:rsidRDefault="00F9087A" w:rsidP="00F9087A">
      <w:pPr>
        <w:pStyle w:val="a5"/>
        <w:spacing w:after="225" w:afterAutospacing="0" w:line="480" w:lineRule="atLeast"/>
      </w:pPr>
      <w:r>
        <w:rPr>
          <w:rFonts w:ascii="微软雅黑" w:eastAsia="微软雅黑" w:hAnsi="微软雅黑" w:hint="eastAsia"/>
          <w:color w:val="000000"/>
        </w:rPr>
        <w:t>       具有国民教育序列大学本科学历(或本科同等学力)人员。</w:t>
      </w:r>
    </w:p>
    <w:p w:rsidR="00F9087A" w:rsidRDefault="00F9087A" w:rsidP="00F9087A">
      <w:pPr>
        <w:pStyle w:val="a5"/>
        <w:spacing w:before="225" w:beforeAutospacing="0" w:after="225" w:afterAutospacing="0" w:line="480" w:lineRule="atLeast"/>
      </w:pPr>
      <w:r>
        <w:rPr>
          <w:rStyle w:val="a6"/>
          <w:rFonts w:ascii="微软雅黑" w:eastAsia="微软雅黑" w:hAnsi="微软雅黑" w:hint="eastAsia"/>
          <w:color w:val="000000"/>
        </w:rPr>
        <w:t>       三、学习方式与年限</w:t>
      </w:r>
    </w:p>
    <w:p w:rsidR="00F9087A" w:rsidRDefault="00F9087A" w:rsidP="00F9087A">
      <w:pPr>
        <w:pStyle w:val="a5"/>
        <w:spacing w:after="225" w:afterAutospacing="0" w:line="480" w:lineRule="atLeast"/>
      </w:pPr>
      <w:r>
        <w:rPr>
          <w:rFonts w:ascii="微软雅黑" w:eastAsia="微软雅黑" w:hAnsi="微软雅黑" w:hint="eastAsia"/>
          <w:color w:val="000000"/>
        </w:rPr>
        <w:t>       采用全日制和非全日制两种学习方式，学习年限一般为2-3年。</w:t>
      </w:r>
    </w:p>
    <w:p w:rsidR="00F9087A" w:rsidRDefault="00F9087A" w:rsidP="00F9087A">
      <w:pPr>
        <w:pStyle w:val="a5"/>
        <w:spacing w:before="225" w:beforeAutospacing="0" w:after="225" w:afterAutospacing="0" w:line="480" w:lineRule="atLeast"/>
      </w:pPr>
      <w:r>
        <w:rPr>
          <w:rStyle w:val="a6"/>
          <w:rFonts w:ascii="微软雅黑" w:eastAsia="微软雅黑" w:hAnsi="微软雅黑" w:hint="eastAsia"/>
          <w:color w:val="000000"/>
        </w:rPr>
        <w:t>       四、培养方式</w:t>
      </w:r>
    </w:p>
    <w:p w:rsidR="00F9087A" w:rsidRDefault="00F9087A" w:rsidP="00F9087A">
      <w:pPr>
        <w:pStyle w:val="a5"/>
        <w:spacing w:after="225" w:afterAutospacing="0" w:line="480" w:lineRule="atLeast"/>
      </w:pPr>
      <w:r>
        <w:rPr>
          <w:rFonts w:ascii="微软雅黑" w:eastAsia="微软雅黑" w:hAnsi="微软雅黑" w:hint="eastAsia"/>
          <w:color w:val="000000"/>
        </w:rPr>
        <w:t>       坚持理论与实践结合、在实践中学习的原则。建议采用培养单位与实践部门合作培养的模式。鼓励采取双导师制，即在校内和实践单位分别聘任研究生指</w:t>
      </w:r>
      <w:r>
        <w:rPr>
          <w:rFonts w:ascii="微软雅黑" w:eastAsia="微软雅黑" w:hAnsi="微软雅黑" w:hint="eastAsia"/>
          <w:color w:val="000000"/>
        </w:rPr>
        <w:lastRenderedPageBreak/>
        <w:t>导教师。校内导师负责指导研究生课程学习和培养全过程协调，实践单位导师负责指导研究生实践活动，校内导师与实践单位导师按照集体培养的方式，根据本专业培养方案的要求以及每个研究生的具体情况，制订培养计划，定期检查实施情况。导师由培养单位相关学科和实践部门的高级专业技术职务或相应行政职务人员担任。</w:t>
      </w:r>
    </w:p>
    <w:p w:rsidR="00F9087A" w:rsidRDefault="00F9087A" w:rsidP="00F9087A">
      <w:pPr>
        <w:pStyle w:val="a5"/>
        <w:spacing w:before="225" w:beforeAutospacing="0" w:after="225" w:afterAutospacing="0" w:line="480" w:lineRule="atLeast"/>
      </w:pPr>
      <w:r>
        <w:rPr>
          <w:rStyle w:val="a6"/>
          <w:rFonts w:ascii="微软雅黑" w:eastAsia="微软雅黑" w:hAnsi="微软雅黑" w:hint="eastAsia"/>
          <w:color w:val="000000"/>
        </w:rPr>
        <w:t>       五、课程设置</w:t>
      </w:r>
    </w:p>
    <w:p w:rsidR="00F9087A" w:rsidRDefault="00F9087A" w:rsidP="00F9087A">
      <w:pPr>
        <w:pStyle w:val="a5"/>
        <w:spacing w:line="480" w:lineRule="atLeast"/>
      </w:pPr>
      <w:r>
        <w:rPr>
          <w:rFonts w:ascii="微软雅黑" w:eastAsia="微软雅黑" w:hAnsi="微软雅黑" w:hint="eastAsia"/>
          <w:color w:val="000000"/>
        </w:rPr>
        <w:t>       实行学分制，总学分不少于24学分。</w:t>
      </w:r>
    </w:p>
    <w:p w:rsidR="00F9087A" w:rsidRDefault="00F9087A" w:rsidP="00F9087A">
      <w:pPr>
        <w:pStyle w:val="a5"/>
        <w:spacing w:line="480" w:lineRule="atLeast"/>
      </w:pPr>
      <w:r>
        <w:rPr>
          <w:rFonts w:ascii="微软雅黑" w:eastAsia="微软雅黑" w:hAnsi="微软雅黑" w:hint="eastAsia"/>
          <w:color w:val="000000"/>
        </w:rPr>
        <w:t>     （一）公共课（4-5学分）</w:t>
      </w:r>
    </w:p>
    <w:p w:rsidR="00F9087A" w:rsidRDefault="00F9087A" w:rsidP="00F9087A">
      <w:pPr>
        <w:pStyle w:val="a5"/>
        <w:spacing w:line="480" w:lineRule="atLeast"/>
      </w:pPr>
      <w:r>
        <w:rPr>
          <w:rFonts w:ascii="微软雅黑" w:eastAsia="微软雅黑" w:hAnsi="微软雅黑" w:hint="eastAsia"/>
          <w:color w:val="000000"/>
        </w:rPr>
        <w:t>       国家规定的相关公共课程，如政治理论课、应用英语等课程。</w:t>
      </w:r>
    </w:p>
    <w:p w:rsidR="00F9087A" w:rsidRDefault="00F9087A" w:rsidP="00F9087A">
      <w:pPr>
        <w:pStyle w:val="a5"/>
        <w:spacing w:line="480" w:lineRule="atLeast"/>
      </w:pPr>
      <w:r>
        <w:rPr>
          <w:rFonts w:ascii="微软雅黑" w:eastAsia="微软雅黑" w:hAnsi="微软雅黑" w:hint="eastAsia"/>
          <w:color w:val="000000"/>
        </w:rPr>
        <w:t>     （二）通</w:t>
      </w:r>
      <w:proofErr w:type="gramStart"/>
      <w:r>
        <w:rPr>
          <w:rFonts w:ascii="微软雅黑" w:eastAsia="微软雅黑" w:hAnsi="微软雅黑" w:hint="eastAsia"/>
          <w:color w:val="000000"/>
        </w:rPr>
        <w:t>识理论</w:t>
      </w:r>
      <w:proofErr w:type="gramEnd"/>
      <w:r>
        <w:rPr>
          <w:rFonts w:ascii="微软雅黑" w:eastAsia="微软雅黑" w:hAnsi="微软雅黑" w:hint="eastAsia"/>
          <w:color w:val="000000"/>
        </w:rPr>
        <w:t>知识（6-8学分）</w:t>
      </w:r>
    </w:p>
    <w:p w:rsidR="00F9087A" w:rsidRDefault="00F9087A" w:rsidP="00F9087A">
      <w:pPr>
        <w:pStyle w:val="a5"/>
        <w:spacing w:line="480" w:lineRule="atLeast"/>
      </w:pPr>
      <w:r>
        <w:rPr>
          <w:rFonts w:ascii="微软雅黑" w:eastAsia="微软雅黑" w:hAnsi="微软雅黑" w:hint="eastAsia"/>
          <w:color w:val="000000"/>
        </w:rPr>
        <w:t>       从事药学工作应具备的通用理论知识及药学前沿科学技术知识，如药事法规、药典、药学前沿等课程。</w:t>
      </w:r>
    </w:p>
    <w:p w:rsidR="00F9087A" w:rsidRDefault="00F9087A" w:rsidP="00F9087A">
      <w:pPr>
        <w:pStyle w:val="a5"/>
        <w:spacing w:line="480" w:lineRule="atLeast"/>
      </w:pPr>
      <w:r>
        <w:rPr>
          <w:rFonts w:ascii="微软雅黑" w:eastAsia="微软雅黑" w:hAnsi="微软雅黑" w:hint="eastAsia"/>
          <w:color w:val="000000"/>
        </w:rPr>
        <w:t>     （三）领域专业知识（6-8学分）</w:t>
      </w:r>
    </w:p>
    <w:p w:rsidR="00F9087A" w:rsidRDefault="00F9087A" w:rsidP="00F9087A">
      <w:pPr>
        <w:pStyle w:val="a5"/>
        <w:spacing w:line="480" w:lineRule="atLeast"/>
      </w:pPr>
      <w:r>
        <w:rPr>
          <w:rFonts w:ascii="微软雅黑" w:eastAsia="微软雅黑" w:hAnsi="微软雅黑" w:hint="eastAsia"/>
          <w:color w:val="000000"/>
        </w:rPr>
        <w:t>       从事本领域技术工作应具备的专业知识，如新药设计、药物滥用与不良反应监测、药物经济学等不同领域的专业知识。</w:t>
      </w:r>
    </w:p>
    <w:p w:rsidR="00F9087A" w:rsidRDefault="00F9087A" w:rsidP="00F9087A">
      <w:pPr>
        <w:pStyle w:val="a5"/>
        <w:spacing w:line="480" w:lineRule="atLeast"/>
      </w:pPr>
      <w:r>
        <w:rPr>
          <w:rFonts w:ascii="微软雅黑" w:eastAsia="微软雅黑" w:hAnsi="微软雅黑" w:hint="eastAsia"/>
          <w:color w:val="000000"/>
        </w:rPr>
        <w:t>     （四）职业培训知识（4学分）</w:t>
      </w:r>
    </w:p>
    <w:p w:rsidR="00F9087A" w:rsidRDefault="00F9087A" w:rsidP="00F9087A">
      <w:pPr>
        <w:pStyle w:val="a5"/>
        <w:spacing w:line="480" w:lineRule="atLeast"/>
      </w:pPr>
      <w:r>
        <w:rPr>
          <w:rFonts w:ascii="微软雅黑" w:eastAsia="微软雅黑" w:hAnsi="微软雅黑" w:hint="eastAsia"/>
          <w:color w:val="000000"/>
        </w:rPr>
        <w:t>       与执业药师资格相衔接的理论知识，如药学综合知识与技能的培训等课程。</w:t>
      </w:r>
    </w:p>
    <w:p w:rsidR="00F9087A" w:rsidRDefault="00F9087A" w:rsidP="00F9087A">
      <w:pPr>
        <w:pStyle w:val="a5"/>
        <w:spacing w:line="480" w:lineRule="atLeast"/>
      </w:pPr>
      <w:r>
        <w:rPr>
          <w:rFonts w:ascii="微软雅黑" w:eastAsia="微软雅黑" w:hAnsi="微软雅黑" w:hint="eastAsia"/>
          <w:color w:val="000000"/>
        </w:rPr>
        <w:lastRenderedPageBreak/>
        <w:t>     （五）实习实践（4学分）</w:t>
      </w:r>
    </w:p>
    <w:p w:rsidR="00F9087A" w:rsidRDefault="00F9087A" w:rsidP="00F9087A">
      <w:pPr>
        <w:pStyle w:val="a5"/>
        <w:spacing w:after="225" w:afterAutospacing="0" w:line="480" w:lineRule="atLeast"/>
      </w:pPr>
      <w:r>
        <w:rPr>
          <w:rFonts w:ascii="微软雅黑" w:eastAsia="微软雅黑" w:hAnsi="微软雅黑" w:hint="eastAsia"/>
          <w:color w:val="000000"/>
        </w:rPr>
        <w:t>       研究生须在培养单位指定的实践单位进行实践学习，并完成学位论文研究工作。实习实践时间一般不少于1年。</w:t>
      </w:r>
    </w:p>
    <w:p w:rsidR="00F9087A" w:rsidRDefault="00F9087A" w:rsidP="00F9087A">
      <w:pPr>
        <w:pStyle w:val="a5"/>
        <w:spacing w:before="225" w:beforeAutospacing="0" w:after="225" w:afterAutospacing="0" w:line="480" w:lineRule="atLeast"/>
      </w:pPr>
      <w:r>
        <w:rPr>
          <w:rStyle w:val="a6"/>
          <w:rFonts w:ascii="微软雅黑" w:eastAsia="微软雅黑" w:hAnsi="微软雅黑" w:hint="eastAsia"/>
          <w:color w:val="000000"/>
        </w:rPr>
        <w:t>       六、学位论文</w:t>
      </w:r>
    </w:p>
    <w:p w:rsidR="00F9087A" w:rsidRDefault="00F9087A" w:rsidP="00F9087A">
      <w:pPr>
        <w:pStyle w:val="a5"/>
        <w:spacing w:after="225" w:afterAutospacing="0" w:line="480" w:lineRule="atLeast"/>
      </w:pPr>
      <w:r>
        <w:rPr>
          <w:rFonts w:ascii="微软雅黑" w:eastAsia="微软雅黑" w:hAnsi="微软雅黑" w:hint="eastAsia"/>
          <w:color w:val="000000"/>
        </w:rPr>
        <w:t>       学位论文选题要紧密结合药学及相关领域科技转化、注册与申报、生产与技改、推广与流通、药学服务及药品监管等实际问题，注重针对性、实用性。学位论文可以是针对药学实践领域具有一定经济和社会效益的专题研究等。</w:t>
      </w:r>
    </w:p>
    <w:p w:rsidR="00F9087A" w:rsidRDefault="00F9087A" w:rsidP="00F9087A">
      <w:pPr>
        <w:pStyle w:val="a5"/>
        <w:spacing w:before="225" w:beforeAutospacing="0" w:after="225" w:afterAutospacing="0" w:line="480" w:lineRule="atLeast"/>
      </w:pPr>
      <w:r>
        <w:rPr>
          <w:rStyle w:val="a6"/>
          <w:rFonts w:ascii="微软雅黑" w:eastAsia="微软雅黑" w:hAnsi="微软雅黑" w:hint="eastAsia"/>
          <w:color w:val="000000"/>
        </w:rPr>
        <w:t>      七、学位授予</w:t>
      </w:r>
    </w:p>
    <w:p w:rsidR="00F9087A" w:rsidRDefault="00F9087A" w:rsidP="00F9087A">
      <w:pPr>
        <w:pStyle w:val="a5"/>
        <w:spacing w:line="480" w:lineRule="atLeast"/>
      </w:pPr>
      <w:r>
        <w:rPr>
          <w:rFonts w:ascii="微软雅黑" w:eastAsia="微软雅黑" w:hAnsi="微软雅黑" w:hint="eastAsia"/>
        </w:rPr>
        <w:t xml:space="preserve">       </w:t>
      </w:r>
      <w:r>
        <w:rPr>
          <w:rFonts w:ascii="微软雅黑" w:eastAsia="微软雅黑" w:hAnsi="微软雅黑" w:hint="eastAsia"/>
          <w:color w:val="000000"/>
        </w:rPr>
        <w:t>完成课程学习和实习实践等培养环节，取得规定学分，并通过学位论文答辩者，经学位授予单位学位评定委员会审核，授予药学硕士专业学位。</w:t>
      </w:r>
    </w:p>
    <w:p w:rsidR="00C32139" w:rsidRPr="00F9087A" w:rsidRDefault="00C32139"/>
    <w:sectPr w:rsidR="00C32139" w:rsidRPr="00F908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CE" w:rsidRDefault="006C10CE" w:rsidP="00F9087A">
      <w:r>
        <w:separator/>
      </w:r>
    </w:p>
  </w:endnote>
  <w:endnote w:type="continuationSeparator" w:id="0">
    <w:p w:rsidR="006C10CE" w:rsidRDefault="006C10CE" w:rsidP="00F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CE" w:rsidRDefault="006C10CE" w:rsidP="00F9087A">
      <w:r>
        <w:separator/>
      </w:r>
    </w:p>
  </w:footnote>
  <w:footnote w:type="continuationSeparator" w:id="0">
    <w:p w:rsidR="006C10CE" w:rsidRDefault="006C10CE" w:rsidP="00F90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EC"/>
    <w:rsid w:val="006C10CE"/>
    <w:rsid w:val="009D71EC"/>
    <w:rsid w:val="00C32139"/>
    <w:rsid w:val="00F90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087A"/>
    <w:rPr>
      <w:sz w:val="18"/>
      <w:szCs w:val="18"/>
    </w:rPr>
  </w:style>
  <w:style w:type="paragraph" w:styleId="a4">
    <w:name w:val="footer"/>
    <w:basedOn w:val="a"/>
    <w:link w:val="Char0"/>
    <w:uiPriority w:val="99"/>
    <w:unhideWhenUsed/>
    <w:rsid w:val="00F9087A"/>
    <w:pPr>
      <w:tabs>
        <w:tab w:val="center" w:pos="4153"/>
        <w:tab w:val="right" w:pos="8306"/>
      </w:tabs>
      <w:snapToGrid w:val="0"/>
      <w:jc w:val="left"/>
    </w:pPr>
    <w:rPr>
      <w:sz w:val="18"/>
      <w:szCs w:val="18"/>
    </w:rPr>
  </w:style>
  <w:style w:type="character" w:customStyle="1" w:styleId="Char0">
    <w:name w:val="页脚 Char"/>
    <w:basedOn w:val="a0"/>
    <w:link w:val="a4"/>
    <w:uiPriority w:val="99"/>
    <w:rsid w:val="00F9087A"/>
    <w:rPr>
      <w:sz w:val="18"/>
      <w:szCs w:val="18"/>
    </w:rPr>
  </w:style>
  <w:style w:type="paragraph" w:styleId="a5">
    <w:name w:val="Normal (Web)"/>
    <w:basedOn w:val="a"/>
    <w:uiPriority w:val="99"/>
    <w:semiHidden/>
    <w:unhideWhenUsed/>
    <w:rsid w:val="00F908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908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087A"/>
    <w:rPr>
      <w:sz w:val="18"/>
      <w:szCs w:val="18"/>
    </w:rPr>
  </w:style>
  <w:style w:type="paragraph" w:styleId="a4">
    <w:name w:val="footer"/>
    <w:basedOn w:val="a"/>
    <w:link w:val="Char0"/>
    <w:uiPriority w:val="99"/>
    <w:unhideWhenUsed/>
    <w:rsid w:val="00F9087A"/>
    <w:pPr>
      <w:tabs>
        <w:tab w:val="center" w:pos="4153"/>
        <w:tab w:val="right" w:pos="8306"/>
      </w:tabs>
      <w:snapToGrid w:val="0"/>
      <w:jc w:val="left"/>
    </w:pPr>
    <w:rPr>
      <w:sz w:val="18"/>
      <w:szCs w:val="18"/>
    </w:rPr>
  </w:style>
  <w:style w:type="character" w:customStyle="1" w:styleId="Char0">
    <w:name w:val="页脚 Char"/>
    <w:basedOn w:val="a0"/>
    <w:link w:val="a4"/>
    <w:uiPriority w:val="99"/>
    <w:rsid w:val="00F9087A"/>
    <w:rPr>
      <w:sz w:val="18"/>
      <w:szCs w:val="18"/>
    </w:rPr>
  </w:style>
  <w:style w:type="paragraph" w:styleId="a5">
    <w:name w:val="Normal (Web)"/>
    <w:basedOn w:val="a"/>
    <w:uiPriority w:val="99"/>
    <w:semiHidden/>
    <w:unhideWhenUsed/>
    <w:rsid w:val="00F908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90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2020-06-26T06:39:00Z</dcterms:created>
  <dcterms:modified xsi:type="dcterms:W3CDTF">2020-06-26T06:39:00Z</dcterms:modified>
</cp:coreProperties>
</file>